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A" w:rsidRPr="002E24DC" w:rsidRDefault="004211CA" w:rsidP="004211C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  <w:kern w:val="24"/>
          <w:sz w:val="32"/>
          <w:szCs w:val="22"/>
        </w:rPr>
      </w:pPr>
      <w:r w:rsidRPr="002E24DC">
        <w:rPr>
          <w:rFonts w:asciiTheme="minorHAnsi" w:eastAsiaTheme="minorEastAsia" w:hAnsiTheme="minorHAnsi" w:cstheme="minorBidi"/>
          <w:b/>
          <w:bCs/>
          <w:kern w:val="24"/>
          <w:sz w:val="32"/>
          <w:szCs w:val="22"/>
        </w:rPr>
        <w:t xml:space="preserve">PODDZIAŁANIE 3.3.3 POIR </w:t>
      </w:r>
    </w:p>
    <w:p w:rsidR="004211CA" w:rsidRPr="002E24DC" w:rsidRDefault="004211CA" w:rsidP="004211C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  <w:kern w:val="24"/>
          <w:sz w:val="32"/>
          <w:szCs w:val="22"/>
        </w:rPr>
      </w:pPr>
      <w:r w:rsidRPr="002E24DC">
        <w:rPr>
          <w:rFonts w:asciiTheme="minorHAnsi" w:eastAsiaTheme="minorEastAsia" w:hAnsiTheme="minorHAnsi" w:cstheme="minorBidi"/>
          <w:b/>
          <w:bCs/>
          <w:kern w:val="24"/>
          <w:sz w:val="32"/>
          <w:szCs w:val="22"/>
        </w:rPr>
        <w:t>Wsparcie MŚP w promocji marek produktowych – Go to Brand</w:t>
      </w:r>
    </w:p>
    <w:p w:rsidR="004211CA" w:rsidRPr="002E24DC" w:rsidRDefault="004211CA" w:rsidP="004211C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211CA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Celem realizacji poddziałania jest udzielenie wsparcia przedsiębiorcom uczestniczącym w targach </w:t>
      </w:r>
      <w:proofErr w:type="spellStart"/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Hannover</w:t>
      </w:r>
      <w:proofErr w:type="spellEnd"/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Messe</w:t>
      </w:r>
      <w:proofErr w:type="spellEnd"/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 2017, w celu promowania polskich marek produktowych oraz promowania Marki Polskiej Gospodarki. </w:t>
      </w:r>
    </w:p>
    <w:p w:rsidR="004211CA" w:rsidRDefault="004211CA" w:rsidP="004211CA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</w:p>
    <w:p w:rsidR="004211CA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Alokacja na konkurs wynosi 50 mln zł (</w:t>
      </w:r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w tym 5 mln zł na woj. Mazowieckie i 45 mln zł na pozostałe województwa)</w:t>
      </w:r>
    </w:p>
    <w:p w:rsidR="004211CA" w:rsidRDefault="004211CA" w:rsidP="004211CA">
      <w:pPr>
        <w:pStyle w:val="Akapitzlist"/>
        <w:rPr>
          <w:rFonts w:asciiTheme="minorHAnsi" w:eastAsia="MS PGothic" w:hAnsiTheme="minorHAnsi" w:cstheme="minorBidi"/>
          <w:bCs/>
          <w:color w:val="000000" w:themeColor="text1"/>
          <w:kern w:val="24"/>
        </w:rPr>
      </w:pPr>
    </w:p>
    <w:p w:rsidR="004211CA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Konkurs został ogłoszony 13 grudnia, a nabór wniosków trwa od 12 stycznia do 13 lutego 2017 </w:t>
      </w:r>
    </w:p>
    <w:p w:rsidR="004211CA" w:rsidRDefault="004211CA" w:rsidP="004211CA">
      <w:pPr>
        <w:pStyle w:val="Akapitzlist"/>
        <w:rPr>
          <w:rFonts w:asciiTheme="minorHAnsi" w:eastAsia="MS PGothic" w:hAnsiTheme="minorHAnsi" w:cstheme="minorBidi"/>
          <w:bCs/>
          <w:color w:val="000000" w:themeColor="text1"/>
          <w:kern w:val="24"/>
        </w:rPr>
      </w:pPr>
    </w:p>
    <w:p w:rsidR="004211CA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O dofinansowanie mogą ubiegać się firmy z sektora MSP prowadzące działalność gospodarczą na terytorium RP. Prowadzona działalność musi być zgodna z tematyką targów </w:t>
      </w:r>
      <w:proofErr w:type="spellStart"/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Hannover</w:t>
      </w:r>
      <w:proofErr w:type="spellEnd"/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Messe</w:t>
      </w:r>
      <w:proofErr w:type="spellEnd"/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. Dodatkowo firmy muszą posiadać w swojej ofercie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  <w:sz w:val="22"/>
        </w:rPr>
        <w:t xml:space="preserve">produkt konkurencyjny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  <w:sz w:val="22"/>
        </w:rPr>
        <w:t>względem produktów z tej samej branży występujących na rynku międzynarodowym</w:t>
      </w:r>
    </w:p>
    <w:p w:rsidR="004211CA" w:rsidRDefault="004211CA" w:rsidP="004211CA">
      <w:pPr>
        <w:pStyle w:val="Akapitzlist"/>
        <w:rPr>
          <w:rFonts w:asciiTheme="minorHAnsi" w:eastAsia="MS PGothic" w:hAnsiTheme="minorHAnsi"/>
          <w:b/>
          <w:bCs/>
          <w:color w:val="000000" w:themeColor="text1"/>
          <w:kern w:val="24"/>
        </w:rPr>
      </w:pPr>
    </w:p>
    <w:p w:rsidR="004211CA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  <w:sz w:val="22"/>
        </w:rPr>
        <w:t xml:space="preserve">Maksymalna łączna wartość wydatków kwalifikowalnych w projekcie to </w:t>
      </w:r>
      <w:r w:rsidRPr="002E24DC">
        <w:rPr>
          <w:rFonts w:asciiTheme="minorHAnsi" w:eastAsia="MS PGothic" w:hAnsiTheme="minorHAnsi"/>
          <w:b/>
          <w:bCs/>
          <w:kern w:val="24"/>
          <w:sz w:val="22"/>
        </w:rPr>
        <w:t>150 000,00 zł</w:t>
      </w:r>
    </w:p>
    <w:p w:rsidR="004211CA" w:rsidRDefault="004211CA" w:rsidP="004211CA">
      <w:pPr>
        <w:pStyle w:val="Akapitzlist"/>
        <w:rPr>
          <w:rFonts w:asciiTheme="minorHAnsi" w:eastAsia="MS PGothic" w:hAnsiTheme="minorHAnsi" w:cstheme="minorBidi"/>
          <w:bCs/>
          <w:color w:val="000000" w:themeColor="text1"/>
          <w:kern w:val="24"/>
        </w:rPr>
      </w:pPr>
    </w:p>
    <w:p w:rsidR="004211CA" w:rsidRPr="002E24DC" w:rsidRDefault="004211CA" w:rsidP="004211CA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</w:pPr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Intensywność wsparcia</w:t>
      </w:r>
      <w:r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 xml:space="preserve"> wynosi</w:t>
      </w:r>
      <w:r w:rsidRPr="002E24DC">
        <w:rPr>
          <w:rFonts w:asciiTheme="minorHAnsi" w:eastAsia="MS PGothic" w:hAnsiTheme="minorHAnsi" w:cstheme="minorBidi"/>
          <w:bCs/>
          <w:color w:val="000000" w:themeColor="text1"/>
          <w:kern w:val="24"/>
          <w:sz w:val="22"/>
          <w:szCs w:val="22"/>
        </w:rPr>
        <w:t>:</w:t>
      </w:r>
    </w:p>
    <w:p w:rsidR="004211CA" w:rsidRPr="002E24DC" w:rsidRDefault="004211CA" w:rsidP="004211CA">
      <w:pPr>
        <w:pStyle w:val="NormalnyWeb"/>
        <w:kinsoku w:val="0"/>
        <w:overflowPunct w:val="0"/>
        <w:textAlignment w:val="baseline"/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1) w przypadku wyboru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pomocy publicznej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-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50%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(bez względu na status wnioskodawcy);</w:t>
      </w:r>
    </w:p>
    <w:p w:rsidR="004211CA" w:rsidRPr="002E24DC" w:rsidRDefault="004211CA" w:rsidP="004211CA">
      <w:pPr>
        <w:pStyle w:val="NormalnyWeb"/>
        <w:kinsoku w:val="0"/>
        <w:overflowPunct w:val="0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2) w przypadku wyboru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pomocy de </w:t>
      </w:r>
      <w:proofErr w:type="spellStart"/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>minimis</w:t>
      </w:r>
      <w:proofErr w:type="spellEnd"/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: </w:t>
      </w:r>
    </w:p>
    <w:p w:rsidR="004211CA" w:rsidRPr="002E24DC" w:rsidRDefault="004211CA" w:rsidP="004211CA">
      <w:pPr>
        <w:pStyle w:val="NormalnyWeb"/>
        <w:kinsoku w:val="0"/>
        <w:overflowPunct w:val="0"/>
        <w:ind w:left="2124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- 60%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dla średniego przedsiębiorstwa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br/>
        <w:t xml:space="preserve">- 75%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dla małego przedsiębiorstwa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br/>
        <w:t xml:space="preserve">-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80%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dla mikroprzedsiębiorstwa z woj. mazowieckiego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br/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- 85% 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dla pozostałych mikroprzedsiębiorstw</w:t>
      </w:r>
    </w:p>
    <w:p w:rsidR="004211CA" w:rsidRPr="002E24DC" w:rsidRDefault="004211CA" w:rsidP="004211CA">
      <w:pPr>
        <w:pStyle w:val="NormalnyWeb"/>
        <w:jc w:val="center"/>
        <w:rPr>
          <w:rFonts w:asciiTheme="minorHAnsi" w:eastAsia="MS PGothic" w:hAnsiTheme="minorHAnsi"/>
          <w:bCs/>
          <w:color w:val="000000" w:themeColor="text1"/>
          <w:kern w:val="24"/>
        </w:rPr>
      </w:pPr>
      <w:r>
        <w:rPr>
          <w:rFonts w:asciiTheme="minorHAnsi" w:eastAsia="MS PGothic" w:hAnsiTheme="minorHAnsi"/>
          <w:b/>
          <w:bCs/>
          <w:color w:val="000000" w:themeColor="text1"/>
          <w:kern w:val="24"/>
        </w:rPr>
        <w:t>Zakres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działań o</w:t>
      </w:r>
      <w:r>
        <w:rPr>
          <w:rFonts w:asciiTheme="minorHAnsi" w:eastAsia="MS PGothic" w:hAnsiTheme="minorHAnsi"/>
          <w:b/>
          <w:bCs/>
          <w:color w:val="000000" w:themeColor="text1"/>
          <w:kern w:val="24"/>
        </w:rPr>
        <w:t>bligatoryjnych, w których muszą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 wziąć udział przedsiębiorcy korzystający z programu:</w:t>
      </w:r>
    </w:p>
    <w:p w:rsidR="004211CA" w:rsidRPr="002E24DC" w:rsidRDefault="004211CA" w:rsidP="004211CA">
      <w:pPr>
        <w:pStyle w:val="NormalnyWeb"/>
        <w:numPr>
          <w:ilvl w:val="0"/>
          <w:numId w:val="3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Przedsiębiorca zobowiązany jest do wzięcia udziału w charakterze wystawcy w targach </w:t>
      </w:r>
      <w:proofErr w:type="spellStart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Hannover</w:t>
      </w:r>
      <w:proofErr w:type="spellEnd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 </w:t>
      </w:r>
      <w:proofErr w:type="spellStart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Messe</w:t>
      </w:r>
      <w:proofErr w:type="spellEnd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 odbywających się w Hanowerze w terminie 24 – 28 kwietnia 2017 r. </w:t>
      </w:r>
    </w:p>
    <w:p w:rsidR="004211CA" w:rsidRPr="002E24DC" w:rsidRDefault="004211CA" w:rsidP="004211CA">
      <w:pPr>
        <w:pStyle w:val="NormalnyWeb"/>
        <w:numPr>
          <w:ilvl w:val="0"/>
          <w:numId w:val="3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Przedsiębiorca, do dnia złożenia wniosku o dofinansowanie powinien zarejestrować i zweryfikować swoją firmę na </w:t>
      </w:r>
      <w:hyperlink r:id="rId6" w:history="1">
        <w:r w:rsidRPr="002E24DC">
          <w:rPr>
            <w:rStyle w:val="Hipercze"/>
            <w:rFonts w:asciiTheme="minorHAnsi" w:eastAsia="MS PGothic" w:hAnsiTheme="minorHAnsi"/>
            <w:bCs/>
            <w:kern w:val="24"/>
          </w:rPr>
          <w:t>www.trade.gov.pl</w:t>
        </w:r>
      </w:hyperlink>
    </w:p>
    <w:p w:rsidR="004211CA" w:rsidRPr="002E24DC" w:rsidRDefault="004211CA" w:rsidP="004211CA">
      <w:pPr>
        <w:pStyle w:val="NormalnyWeb"/>
        <w:numPr>
          <w:ilvl w:val="0"/>
          <w:numId w:val="3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Przedsiębiorca zobowiązany jest do instalacji na stoisku wystawienniczym elementów dekoracyjnych uwzględniających założenia wizualizacji Marki Polskiej Gospodarki tj. panelu promocyjnego MPG </w:t>
      </w:r>
    </w:p>
    <w:p w:rsidR="004211CA" w:rsidRPr="002E24DC" w:rsidRDefault="004211CA" w:rsidP="004211CA">
      <w:pPr>
        <w:pStyle w:val="NormalnyWeb"/>
        <w:jc w:val="center"/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>Zakres działań fakultatywnych, w których mogą wziąć udział przedsiębiorcy korzystający z programu: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Przedsiębiorca biorący udział w programie ma możliwość realizacji działań </w:t>
      </w:r>
      <w:proofErr w:type="spellStart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informacyjno</w:t>
      </w:r>
      <w:proofErr w:type="spellEnd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– promocyjnych, w ramach których refundowane będą koszty:</w:t>
      </w:r>
    </w:p>
    <w:p w:rsidR="004211CA" w:rsidRPr="002E24DC" w:rsidRDefault="004211CA" w:rsidP="004211CA">
      <w:pPr>
        <w:pStyle w:val="NormalnyWeb"/>
        <w:numPr>
          <w:ilvl w:val="0"/>
          <w:numId w:val="1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lastRenderedPageBreak/>
        <w:t>nabycia lub wytworzenia oraz dystrybucji materiałów informacyjno-promocyjnych takich jak gadżety, materiały drukowane np. foldery, ulotki, wizytówki;</w:t>
      </w:r>
    </w:p>
    <w:p w:rsidR="004211CA" w:rsidRPr="002E24DC" w:rsidRDefault="004211CA" w:rsidP="004211CA">
      <w:pPr>
        <w:pStyle w:val="NormalnyWeb"/>
        <w:numPr>
          <w:ilvl w:val="0"/>
          <w:numId w:val="1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przygotowania i prowadzenia działań informacyjno-promocyjnych w mediach tradycyjnych, elektronicznych, cyfrowych;</w:t>
      </w:r>
    </w:p>
    <w:p w:rsidR="004211CA" w:rsidRPr="002E24DC" w:rsidRDefault="004211CA" w:rsidP="004211CA">
      <w:pPr>
        <w:pStyle w:val="NormalnyWeb"/>
        <w:numPr>
          <w:ilvl w:val="0"/>
          <w:numId w:val="1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przygotowania lub tłumaczenia strony internetowej wnioskodawcy; </w:t>
      </w:r>
    </w:p>
    <w:p w:rsidR="004211CA" w:rsidRPr="002E24DC" w:rsidRDefault="004211CA" w:rsidP="004211CA">
      <w:pPr>
        <w:pStyle w:val="NormalnyWeb"/>
        <w:numPr>
          <w:ilvl w:val="0"/>
          <w:numId w:val="1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produkcji i emisji spotów i filmów informacyjno-promocyjnych.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>Główne rodzaje wydatków kwalifikowalnych: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- koszty wynajmu, budowy i obsługi stoiska wystawowego podczas uczestnictwa MŚP w danych targach lub danej wystawie (pomoc publiczna – rozdział 11 rozporządzenia POIR; rozporządzenie Komisji (UE) nr 651/2014)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Cs/>
          <w:i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i/>
          <w:color w:val="000000" w:themeColor="text1"/>
          <w:kern w:val="24"/>
        </w:rPr>
        <w:t>alternatywnie: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-  koszty organizacji stoiska wystawowego na targach lub wystawie (pomoc de </w:t>
      </w:r>
      <w:proofErr w:type="spellStart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minimis</w:t>
      </w:r>
      <w:proofErr w:type="spellEnd"/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 – rozdział 13 rozporządzenia POIR; rozporządzenie Komisji (UE) nr 1407/2013)</w:t>
      </w:r>
    </w:p>
    <w:p w:rsidR="004211CA" w:rsidRPr="002E24DC" w:rsidRDefault="004211CA" w:rsidP="004211CA">
      <w:pPr>
        <w:pStyle w:val="NormalnyWeb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>Dodatkowe rodzaje wydatków kwalifikowalnych: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koszty podróży służbowych pracowników przedsiębiorcy uczestniczącego w targach, w zakresie i według stawek określonych w przepisach w sprawie należności przysługujących pracownikowi zatrudnionemu w państwowej lub samorządowej jednostce sfery budżetowej z tytułu podróży służbowej poza granicami kraju 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koszty transportu i ubezpieczenia osób i eksponatów w związku z udziałem w targach i misjach gospodarczych</w:t>
      </w:r>
    </w:p>
    <w:p w:rsidR="004211CA" w:rsidRPr="002E24DC" w:rsidRDefault="004211CA" w:rsidP="004211CA">
      <w:pPr>
        <w:pStyle w:val="NormalnyWeb"/>
        <w:ind w:left="720"/>
        <w:rPr>
          <w:rFonts w:asciiTheme="minorHAnsi" w:eastAsia="MS PGothic" w:hAnsiTheme="minorHAnsi"/>
          <w:b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>Dwa powyższe kryteria muszą być &lt;= 60% wartości kosztów kwalifikowalnych projektu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koszty rezerwacji miejsca wystawowego na targach, opłaty rejestracyjnej za udział w targach oraz wpisu do katalogu targowego, poniesione nie wcześniej niż 12 miesięcy przed dniem złożenia wniosku; 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koszty reklamy w mediach targowych; 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koszty udziału w seminariach, kongresach i konferencjach; 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koszty  informacyjno-promocyjne projektu;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koszty usługi doradczej dotyczącej umiędzynarodowienia przedsiębiorcy (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&lt;= 5%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br/>
        <w:t>wartości kosztów kwalifikowalnych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);</w:t>
      </w:r>
    </w:p>
    <w:p w:rsidR="004211CA" w:rsidRPr="002E24DC" w:rsidRDefault="004211CA" w:rsidP="004211CA">
      <w:pPr>
        <w:pStyle w:val="NormalnyWeb"/>
        <w:numPr>
          <w:ilvl w:val="0"/>
          <w:numId w:val="2"/>
        </w:numPr>
        <w:rPr>
          <w:rFonts w:asciiTheme="minorHAnsi" w:eastAsia="MS PGothic" w:hAnsiTheme="minorHAnsi"/>
          <w:bCs/>
          <w:color w:val="000000" w:themeColor="text1"/>
          <w:kern w:val="24"/>
        </w:rPr>
      </w:pP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>koszty szkolenia w zakresie umiędzynarodowienia przedsiębiorcy (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t xml:space="preserve">&lt;= 2% </w:t>
      </w:r>
      <w:r w:rsidRPr="002E24DC">
        <w:rPr>
          <w:rFonts w:asciiTheme="minorHAnsi" w:eastAsia="MS PGothic" w:hAnsiTheme="minorHAnsi"/>
          <w:b/>
          <w:bCs/>
          <w:color w:val="000000" w:themeColor="text1"/>
          <w:kern w:val="24"/>
        </w:rPr>
        <w:br/>
        <w:t>wartości kosztów kwalifikowalnych</w:t>
      </w:r>
      <w:r w:rsidRPr="002E24DC">
        <w:rPr>
          <w:rFonts w:asciiTheme="minorHAnsi" w:eastAsia="MS PGothic" w:hAnsiTheme="minorHAnsi"/>
          <w:bCs/>
          <w:color w:val="000000" w:themeColor="text1"/>
          <w:kern w:val="24"/>
        </w:rPr>
        <w:t xml:space="preserve">); </w:t>
      </w:r>
    </w:p>
    <w:p w:rsidR="004211CA" w:rsidRPr="004211CA" w:rsidRDefault="004211CA" w:rsidP="004211CA">
      <w:pPr>
        <w:pStyle w:val="NormalnyWeb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u w:val="single"/>
        </w:rPr>
      </w:pPr>
      <w:r w:rsidRPr="004211CA">
        <w:rPr>
          <w:rFonts w:asciiTheme="minorHAnsi" w:eastAsia="MS PGothic" w:hAnsiTheme="minorHAnsi"/>
          <w:bCs/>
          <w:color w:val="000000" w:themeColor="text1"/>
          <w:kern w:val="24"/>
        </w:rPr>
        <w:t>koszty ustanowienia i utrzymania zabezpieczenia dla zaliczki wypłaconej na rzecz MŚP.</w:t>
      </w:r>
      <w:bookmarkStart w:id="0" w:name="_GoBack"/>
      <w:bookmarkEnd w:id="0"/>
    </w:p>
    <w:p w:rsidR="004211CA" w:rsidRDefault="004211CA" w:rsidP="004211CA">
      <w:pPr>
        <w:pStyle w:val="NormalnyWeb"/>
        <w:jc w:val="both"/>
        <w:rPr>
          <w:rFonts w:asciiTheme="minorHAnsi" w:eastAsia="MS PGothic" w:hAnsiTheme="minorHAnsi"/>
          <w:bCs/>
          <w:color w:val="000000" w:themeColor="text1"/>
          <w:kern w:val="24"/>
          <w:u w:val="single"/>
        </w:rPr>
      </w:pPr>
    </w:p>
    <w:p w:rsidR="00D92F0F" w:rsidRDefault="004211CA"/>
    <w:sectPr w:rsidR="00D9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427"/>
    <w:multiLevelType w:val="hybridMultilevel"/>
    <w:tmpl w:val="077C6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7DA4"/>
    <w:multiLevelType w:val="hybridMultilevel"/>
    <w:tmpl w:val="BE0C71C8"/>
    <w:lvl w:ilvl="0" w:tplc="7390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5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4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A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AE3929"/>
    <w:multiLevelType w:val="hybridMultilevel"/>
    <w:tmpl w:val="370C3D3A"/>
    <w:lvl w:ilvl="0" w:tplc="366C5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2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605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D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7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E8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6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A77CD2"/>
    <w:multiLevelType w:val="hybridMultilevel"/>
    <w:tmpl w:val="AB0ED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A"/>
    <w:rsid w:val="004211CA"/>
    <w:rsid w:val="00D37247"/>
    <w:rsid w:val="00D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1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1C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1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1C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e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Sulowska</dc:creator>
  <cp:lastModifiedBy>Danuta Sulowska</cp:lastModifiedBy>
  <cp:revision>1</cp:revision>
  <dcterms:created xsi:type="dcterms:W3CDTF">2017-02-08T08:32:00Z</dcterms:created>
  <dcterms:modified xsi:type="dcterms:W3CDTF">2017-02-08T08:33:00Z</dcterms:modified>
</cp:coreProperties>
</file>